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4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005"/>
        <w:gridCol w:w="993"/>
        <w:gridCol w:w="1701"/>
        <w:gridCol w:w="877"/>
        <w:gridCol w:w="825"/>
        <w:gridCol w:w="2267"/>
        <w:gridCol w:w="1984"/>
        <w:gridCol w:w="1471"/>
        <w:gridCol w:w="1134"/>
      </w:tblGrid>
      <w:tr w:rsidR="00A9246D" w:rsidRPr="00A9246D" w:rsidTr="008361DA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коллективного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электроснабжение, водоснабжение, 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  <w:r w:rsidR="00313606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313606" w:rsidP="0031360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E0CE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25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9F23B6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8361DA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34102B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34102B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34102B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34102B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8361DA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34102B">
              <w:rPr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8361DA" w:rsidRPr="00A9246D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Default="008361DA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</w:t>
            </w:r>
            <w:bookmarkStart w:id="0" w:name="_GoBack"/>
            <w:bookmarkEnd w:id="0"/>
            <w:r w:rsidRPr="00A9246D">
              <w:rPr>
                <w:sz w:val="23"/>
                <w:szCs w:val="23"/>
                <w:lang w:eastAsia="en-US"/>
              </w:rPr>
              <w:t>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8361DA" w:rsidRPr="00A9246D" w:rsidRDefault="008361DA" w:rsidP="00C74FF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DA" w:rsidRPr="00A9246D" w:rsidRDefault="008361DA" w:rsidP="00C74FF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8361DA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Default="002A034F" w:rsidP="0034102B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34102B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Путеец - 2002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2A034F" w:rsidRPr="00A9246D" w:rsidRDefault="002A034F" w:rsidP="002A034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2A034F">
              <w:rPr>
                <w:sz w:val="23"/>
                <w:szCs w:val="23"/>
                <w:lang w:eastAsia="en-US"/>
              </w:rPr>
              <w:t>Пригородного сельсовета Борисовского района Минской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Default="002A034F" w:rsidP="008361DA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9F23B6">
            <w:pPr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2A034F" w:rsidRPr="00A9246D" w:rsidRDefault="002A034F" w:rsidP="002846DF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2846D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2A034F" w:rsidRPr="00A9246D" w:rsidTr="008361DA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4F" w:rsidRPr="00A9246D" w:rsidRDefault="002A034F" w:rsidP="00FA0223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34102B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34102B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F" w:rsidRPr="00A9246D" w:rsidRDefault="002A034F" w:rsidP="00FA022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1C6FCF">
      <w:headerReference w:type="default" r:id="rId8"/>
      <w:pgSz w:w="16838" w:h="11906" w:orient="landscape"/>
      <w:pgMar w:top="1134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3B6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034F"/>
    <w:rsid w:val="002A4EEB"/>
    <w:rsid w:val="002E2B9F"/>
    <w:rsid w:val="00313606"/>
    <w:rsid w:val="00315166"/>
    <w:rsid w:val="00335647"/>
    <w:rsid w:val="0034102B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3DED"/>
    <w:rsid w:val="00535CB8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9F23B6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FE8C-42BE-43D6-AFCA-7643D5EA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2025-02-21T08:56:00Z</cp:lastPrinted>
  <dcterms:created xsi:type="dcterms:W3CDTF">2025-10-28T07:33:00Z</dcterms:created>
  <dcterms:modified xsi:type="dcterms:W3CDTF">2026-01-30T11:51:00Z</dcterms:modified>
</cp:coreProperties>
</file>